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质量安全总监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质量安全总监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A0BED"/>
    <w:rsid w:val="2FE46CB0"/>
    <w:rsid w:val="38F02A92"/>
    <w:rsid w:val="3ACD2686"/>
    <w:rsid w:val="4E275DC7"/>
    <w:rsid w:val="59E75F0D"/>
    <w:rsid w:val="5EC24E86"/>
    <w:rsid w:val="60467201"/>
    <w:rsid w:val="67E33780"/>
    <w:rsid w:val="6BA35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10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2024-11-27T06:20:51Z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8336E352B0D643ADBEC61CDC23A30780_13</vt:lpwstr>
  </property>
</Properties>
</file>